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8CDDE" w14:textId="77777777" w:rsidR="00270D21" w:rsidRDefault="00270D21" w:rsidP="00270D21">
      <w:pPr>
        <w:spacing w:before="175"/>
        <w:ind w:left="355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08829C" wp14:editId="368771BD">
            <wp:simplePos x="0" y="0"/>
            <wp:positionH relativeFrom="page">
              <wp:posOffset>889000</wp:posOffset>
            </wp:positionH>
            <wp:positionV relativeFrom="paragraph">
              <wp:posOffset>-928</wp:posOffset>
            </wp:positionV>
            <wp:extent cx="1054735" cy="46796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46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АКЦИОНЕРНОЕ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ОБЩЕСТВО</w:t>
      </w:r>
    </w:p>
    <w:p w14:paraId="152E63CA" w14:textId="77777777" w:rsidR="00270D21" w:rsidRDefault="00270D21" w:rsidP="00270D21">
      <w:pPr>
        <w:spacing w:before="1"/>
        <w:ind w:left="3557"/>
        <w:rPr>
          <w:b/>
          <w:sz w:val="20"/>
        </w:rPr>
      </w:pPr>
      <w:r>
        <w:rPr>
          <w:b/>
          <w:sz w:val="20"/>
        </w:rPr>
        <w:t>«НАЦИОНАЛЬНЫЙ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НЕГОСУДАРСТВЕННЫЙ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ПЕНСИОННЫЙ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ФОНД»</w:t>
      </w:r>
    </w:p>
    <w:p w14:paraId="2FB70151" w14:textId="77777777" w:rsidR="00270D21" w:rsidRDefault="00270D21" w:rsidP="00270D21">
      <w:pPr>
        <w:pStyle w:val="a3"/>
        <w:rPr>
          <w:b/>
          <w:sz w:val="20"/>
        </w:rPr>
      </w:pPr>
    </w:p>
    <w:p w14:paraId="1ABA5E77" w14:textId="77777777" w:rsidR="00270D21" w:rsidRDefault="00270D21" w:rsidP="00270D21">
      <w:pPr>
        <w:pStyle w:val="a3"/>
        <w:rPr>
          <w:b/>
          <w:sz w:val="20"/>
        </w:rPr>
      </w:pPr>
    </w:p>
    <w:p w14:paraId="7AC6AD21" w14:textId="77777777" w:rsidR="00270D21" w:rsidRDefault="00270D21" w:rsidP="00270D21">
      <w:pPr>
        <w:spacing w:before="101"/>
        <w:ind w:left="1276" w:right="682"/>
        <w:jc w:val="center"/>
        <w:rPr>
          <w:b/>
        </w:rPr>
      </w:pPr>
      <w:r w:rsidRPr="00DC7BB6">
        <w:rPr>
          <w:b/>
        </w:rPr>
        <w:t>Информация о событиях (действиях), оказывающих, по мнению Фонда, существенное влияние на совокупную стоимость активов, в которые инвестированы средства пенсионных накоплений и размещены средства пенсионных резервов</w:t>
      </w:r>
    </w:p>
    <w:p w14:paraId="32ECCA25" w14:textId="77777777" w:rsidR="00270D21" w:rsidRDefault="00270D21" w:rsidP="00270D21">
      <w:pPr>
        <w:spacing w:before="120"/>
        <w:ind w:left="142" w:firstLine="567"/>
        <w:jc w:val="both"/>
      </w:pPr>
    </w:p>
    <w:p w14:paraId="4113AA5C" w14:textId="77777777" w:rsidR="00270D21" w:rsidRPr="00014BFF" w:rsidRDefault="00270D21" w:rsidP="00270D21">
      <w:pPr>
        <w:spacing w:before="120"/>
        <w:ind w:left="142" w:firstLine="567"/>
        <w:jc w:val="both"/>
      </w:pPr>
      <w:r w:rsidRPr="00014BFF">
        <w:t>Фонд осуществляет инвестирование средств пенсионных накоплений и размещение</w:t>
      </w:r>
      <w:r>
        <w:t xml:space="preserve"> </w:t>
      </w:r>
      <w:r w:rsidRPr="00014BFF">
        <w:t>средств пенсионных резервов в активы, стоимость которых подвержена влиянию внешних</w:t>
      </w:r>
      <w:r>
        <w:t xml:space="preserve"> </w:t>
      </w:r>
      <w:r w:rsidRPr="00014BFF">
        <w:t>макроэкономических факторов, а также зависит от состояния финансовых рынков, условий</w:t>
      </w:r>
      <w:r>
        <w:t xml:space="preserve"> </w:t>
      </w:r>
      <w:r w:rsidRPr="00014BFF">
        <w:t>деятельности отдельных контрагентов</w:t>
      </w:r>
      <w:r>
        <w:t xml:space="preserve"> и </w:t>
      </w:r>
      <w:r w:rsidRPr="00014BFF">
        <w:t>эмитентов.</w:t>
      </w:r>
    </w:p>
    <w:p w14:paraId="2A7B58C0" w14:textId="06F31628" w:rsidR="00270D21" w:rsidRDefault="00270D21" w:rsidP="00270D21">
      <w:pPr>
        <w:spacing w:before="120"/>
        <w:ind w:left="142" w:firstLine="567"/>
        <w:jc w:val="both"/>
      </w:pPr>
      <w:r w:rsidRPr="00014BFF">
        <w:t>При определении инвестиционной стратегии Фонд оценивает текущую экономическую</w:t>
      </w:r>
      <w:r>
        <w:t xml:space="preserve"> </w:t>
      </w:r>
      <w:r w:rsidRPr="00014BFF">
        <w:t>конъюнктуру и прогноз ее изменения на ближайший финансовый год. Представленные далее</w:t>
      </w:r>
      <w:r>
        <w:t xml:space="preserve"> </w:t>
      </w:r>
      <w:r w:rsidRPr="00014BFF">
        <w:t>экономические прогнозы и показатели на 202</w:t>
      </w:r>
      <w:r>
        <w:t>6</w:t>
      </w:r>
      <w:r w:rsidRPr="00014BFF">
        <w:t xml:space="preserve"> год базируются на доступной и известной</w:t>
      </w:r>
      <w:r>
        <w:t xml:space="preserve"> </w:t>
      </w:r>
      <w:r w:rsidRPr="00014BFF">
        <w:t>информации на момент составления инвестиционной стратегии.</w:t>
      </w:r>
    </w:p>
    <w:p w14:paraId="36A5B2DB" w14:textId="77777777" w:rsidR="003F28CD" w:rsidRDefault="003F28CD" w:rsidP="00270D21">
      <w:pPr>
        <w:spacing w:before="120"/>
        <w:ind w:left="142" w:firstLine="567"/>
        <w:jc w:val="both"/>
      </w:pPr>
    </w:p>
    <w:p w14:paraId="4F955AE5" w14:textId="77777777" w:rsidR="00270D21" w:rsidRPr="007720B1" w:rsidRDefault="00270D21" w:rsidP="00270D21">
      <w:pPr>
        <w:pStyle w:val="1"/>
        <w:numPr>
          <w:ilvl w:val="0"/>
          <w:numId w:val="1"/>
        </w:numPr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157702975"/>
      <w:r w:rsidRPr="007720B1">
        <w:rPr>
          <w:rFonts w:ascii="Tahoma" w:hAnsi="Tahoma" w:cs="Tahoma"/>
          <w:color w:val="auto"/>
          <w:sz w:val="24"/>
          <w:szCs w:val="24"/>
        </w:rPr>
        <w:t>Глобальная экономическая ситуация и прогноз</w:t>
      </w:r>
      <w:bookmarkEnd w:id="0"/>
    </w:p>
    <w:p w14:paraId="476DE3AB" w14:textId="38926E25" w:rsidR="008B5432" w:rsidRDefault="00B92FD7" w:rsidP="008B5432">
      <w:pPr>
        <w:spacing w:before="120"/>
        <w:ind w:left="142" w:firstLine="567"/>
        <w:jc w:val="both"/>
      </w:pPr>
      <w:r w:rsidRPr="00B92FD7">
        <w:t>В начале 2026 года на мировой арене возникли признаки нестабильности из-за роста напряженности на Западе, что привело к некоторому замедлению темпов развития мировой экономики.</w:t>
      </w:r>
      <w:r w:rsidR="008B5432">
        <w:t xml:space="preserve"> К таким драйверам можно отнести массовые протесты в Иране с дальнейшей вероятностью эскалации конфликта со стороны Соединенных Штатов. Однако, прогнозы многих аналитиков на 2026 год отражают умеренный, но не пессимистичный сценарий.</w:t>
      </w:r>
    </w:p>
    <w:p w14:paraId="3FB8782D" w14:textId="77777777" w:rsidR="008B5432" w:rsidRDefault="008B5432" w:rsidP="008B5432">
      <w:pPr>
        <w:spacing w:before="120"/>
        <w:ind w:left="142" w:firstLine="567"/>
        <w:jc w:val="both"/>
      </w:pPr>
      <w:r>
        <w:t>Таблица 1 – прогнозные значения на 2026 год темпов роста мировой экономики и инфляции от ведущих международных организаций.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3444"/>
        <w:gridCol w:w="3435"/>
        <w:gridCol w:w="3435"/>
      </w:tblGrid>
      <w:tr w:rsidR="00D67BE3" w14:paraId="4B8A983E" w14:textId="77777777" w:rsidTr="003B5CF5">
        <w:tc>
          <w:tcPr>
            <w:tcW w:w="3485" w:type="dxa"/>
          </w:tcPr>
          <w:p w14:paraId="22E722C7" w14:textId="77777777" w:rsidR="008B5432" w:rsidRPr="00D67BE3" w:rsidRDefault="008B5432" w:rsidP="003B5CF5">
            <w:pPr>
              <w:spacing w:before="120"/>
              <w:jc w:val="center"/>
              <w:rPr>
                <w:b/>
                <w:sz w:val="20"/>
              </w:rPr>
            </w:pPr>
            <w:r w:rsidRPr="00D67BE3">
              <w:rPr>
                <w:b/>
                <w:sz w:val="20"/>
              </w:rPr>
              <w:t>Организация</w:t>
            </w:r>
          </w:p>
        </w:tc>
        <w:tc>
          <w:tcPr>
            <w:tcW w:w="3485" w:type="dxa"/>
          </w:tcPr>
          <w:p w14:paraId="182DEA43" w14:textId="77777777" w:rsidR="008B5432" w:rsidRPr="00D67BE3" w:rsidRDefault="008B5432" w:rsidP="003B5CF5">
            <w:pPr>
              <w:spacing w:before="120"/>
              <w:jc w:val="center"/>
              <w:rPr>
                <w:b/>
                <w:sz w:val="20"/>
              </w:rPr>
            </w:pPr>
            <w:r w:rsidRPr="00D67BE3">
              <w:rPr>
                <w:b/>
                <w:sz w:val="20"/>
              </w:rPr>
              <w:t>Темп роста мировой экономики</w:t>
            </w:r>
          </w:p>
        </w:tc>
        <w:tc>
          <w:tcPr>
            <w:tcW w:w="3486" w:type="dxa"/>
          </w:tcPr>
          <w:p w14:paraId="3480C822" w14:textId="77777777" w:rsidR="008B5432" w:rsidRPr="00D67BE3" w:rsidRDefault="008B5432" w:rsidP="003B5CF5">
            <w:pPr>
              <w:spacing w:before="120"/>
              <w:jc w:val="center"/>
              <w:rPr>
                <w:b/>
                <w:sz w:val="20"/>
              </w:rPr>
            </w:pPr>
            <w:r w:rsidRPr="00D67BE3">
              <w:rPr>
                <w:b/>
                <w:sz w:val="20"/>
              </w:rPr>
              <w:t>Инфляция</w:t>
            </w:r>
          </w:p>
        </w:tc>
      </w:tr>
      <w:tr w:rsidR="00D67BE3" w14:paraId="5AD0081B" w14:textId="77777777" w:rsidTr="003B5CF5">
        <w:tc>
          <w:tcPr>
            <w:tcW w:w="3485" w:type="dxa"/>
          </w:tcPr>
          <w:p w14:paraId="1EFF5ED6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Организация Объединенных Наций (ООН)</w:t>
            </w:r>
          </w:p>
        </w:tc>
        <w:tc>
          <w:tcPr>
            <w:tcW w:w="3485" w:type="dxa"/>
          </w:tcPr>
          <w:p w14:paraId="45E60930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2,7%</w:t>
            </w:r>
          </w:p>
        </w:tc>
        <w:tc>
          <w:tcPr>
            <w:tcW w:w="3486" w:type="dxa"/>
          </w:tcPr>
          <w:p w14:paraId="24FB614A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3,1%</w:t>
            </w:r>
          </w:p>
        </w:tc>
      </w:tr>
      <w:tr w:rsidR="00D67BE3" w14:paraId="72EB9E5D" w14:textId="77777777" w:rsidTr="003B5CF5">
        <w:tc>
          <w:tcPr>
            <w:tcW w:w="3485" w:type="dxa"/>
          </w:tcPr>
          <w:p w14:paraId="79D3E4CC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Всемирный банк (ВБ)</w:t>
            </w:r>
          </w:p>
        </w:tc>
        <w:tc>
          <w:tcPr>
            <w:tcW w:w="3485" w:type="dxa"/>
          </w:tcPr>
          <w:p w14:paraId="50FD6304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2,6%</w:t>
            </w:r>
          </w:p>
        </w:tc>
        <w:tc>
          <w:tcPr>
            <w:tcW w:w="3486" w:type="dxa"/>
          </w:tcPr>
          <w:p w14:paraId="23CC6280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2,6%</w:t>
            </w:r>
          </w:p>
        </w:tc>
      </w:tr>
      <w:tr w:rsidR="008B5432" w14:paraId="6E5EAC0E" w14:textId="77777777" w:rsidTr="003B5CF5">
        <w:tc>
          <w:tcPr>
            <w:tcW w:w="3485" w:type="dxa"/>
          </w:tcPr>
          <w:p w14:paraId="54275C21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Организация экономического сотрудничества и развития (ОЭСР)</w:t>
            </w:r>
          </w:p>
        </w:tc>
        <w:tc>
          <w:tcPr>
            <w:tcW w:w="3485" w:type="dxa"/>
          </w:tcPr>
          <w:p w14:paraId="0506520E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2,9%</w:t>
            </w:r>
          </w:p>
        </w:tc>
        <w:tc>
          <w:tcPr>
            <w:tcW w:w="3486" w:type="dxa"/>
          </w:tcPr>
          <w:p w14:paraId="5E86A46C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3,2%</w:t>
            </w:r>
          </w:p>
        </w:tc>
      </w:tr>
      <w:tr w:rsidR="008B5432" w14:paraId="4ADA45CA" w14:textId="77777777" w:rsidTr="003B5CF5">
        <w:tc>
          <w:tcPr>
            <w:tcW w:w="3485" w:type="dxa"/>
          </w:tcPr>
          <w:p w14:paraId="40FB99B6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  <w:lang w:val="en-US"/>
              </w:rPr>
            </w:pPr>
            <w:proofErr w:type="spellStart"/>
            <w:r w:rsidRPr="00D67BE3">
              <w:rPr>
                <w:bCs/>
                <w:sz w:val="20"/>
              </w:rPr>
              <w:t>Fitch</w:t>
            </w:r>
            <w:proofErr w:type="spellEnd"/>
            <w:r w:rsidRPr="00D67BE3">
              <w:rPr>
                <w:bCs/>
                <w:sz w:val="20"/>
              </w:rPr>
              <w:t xml:space="preserve"> </w:t>
            </w:r>
            <w:proofErr w:type="spellStart"/>
            <w:r w:rsidRPr="00D67BE3">
              <w:rPr>
                <w:bCs/>
                <w:sz w:val="20"/>
              </w:rPr>
              <w:t>Ratings</w:t>
            </w:r>
            <w:proofErr w:type="spellEnd"/>
          </w:p>
        </w:tc>
        <w:tc>
          <w:tcPr>
            <w:tcW w:w="3485" w:type="dxa"/>
          </w:tcPr>
          <w:p w14:paraId="0F44A214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2,4%</w:t>
            </w:r>
          </w:p>
        </w:tc>
        <w:tc>
          <w:tcPr>
            <w:tcW w:w="3486" w:type="dxa"/>
          </w:tcPr>
          <w:p w14:paraId="570A8D44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-</w:t>
            </w:r>
          </w:p>
        </w:tc>
      </w:tr>
      <w:tr w:rsidR="008B5432" w14:paraId="136B9D40" w14:textId="77777777" w:rsidTr="003B5CF5">
        <w:tc>
          <w:tcPr>
            <w:tcW w:w="3485" w:type="dxa"/>
          </w:tcPr>
          <w:p w14:paraId="32B4394A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Международный валютный фонд (МВФ)</w:t>
            </w:r>
          </w:p>
        </w:tc>
        <w:tc>
          <w:tcPr>
            <w:tcW w:w="3485" w:type="dxa"/>
          </w:tcPr>
          <w:p w14:paraId="47069CBB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3,3%</w:t>
            </w:r>
          </w:p>
        </w:tc>
        <w:tc>
          <w:tcPr>
            <w:tcW w:w="3486" w:type="dxa"/>
          </w:tcPr>
          <w:p w14:paraId="63B78B65" w14:textId="77777777" w:rsidR="008B5432" w:rsidRPr="00D67BE3" w:rsidRDefault="008B5432" w:rsidP="003B5CF5">
            <w:pPr>
              <w:spacing w:before="120"/>
              <w:jc w:val="center"/>
              <w:rPr>
                <w:sz w:val="20"/>
              </w:rPr>
            </w:pPr>
            <w:r w:rsidRPr="00D67BE3">
              <w:rPr>
                <w:sz w:val="20"/>
              </w:rPr>
              <w:t>3,8%</w:t>
            </w:r>
          </w:p>
        </w:tc>
      </w:tr>
    </w:tbl>
    <w:p w14:paraId="798C0678" w14:textId="60EBE007" w:rsidR="001C6D76" w:rsidRDefault="008B5432" w:rsidP="001C6D76">
      <w:pPr>
        <w:spacing w:before="120"/>
        <w:ind w:left="142" w:firstLine="567"/>
        <w:jc w:val="both"/>
      </w:pPr>
      <w:r>
        <w:t>Мы ожидаем, что рост мировой экономики будет ниже исторических средних значений и с высокой региональной и секторной неоднородность</w:t>
      </w:r>
      <w:r w:rsidR="00D30A4C">
        <w:t>ю</w:t>
      </w:r>
      <w:r>
        <w:t xml:space="preserve">. </w:t>
      </w:r>
      <w:r w:rsidRPr="008B5432">
        <w:t xml:space="preserve">Негативные изменения в торговой политике смягчаются позитивными факторами роста инвестиций в технологии, включая искусственный интеллект. Также </w:t>
      </w:r>
      <w:r w:rsidR="00D30A4C">
        <w:t xml:space="preserve">росту экономики </w:t>
      </w:r>
      <w:r w:rsidRPr="008B5432">
        <w:t xml:space="preserve">помогают меры бюджетной и денежно-кредитной поддержки, </w:t>
      </w:r>
      <w:r w:rsidR="00D30A4C">
        <w:t>благоприятные</w:t>
      </w:r>
      <w:r w:rsidRPr="008B5432">
        <w:t xml:space="preserve"> финансовые условия и способность частного сектора адаптироваться</w:t>
      </w:r>
      <w:r w:rsidR="00D30A4C">
        <w:t xml:space="preserve"> к изменениям</w:t>
      </w:r>
      <w:r w:rsidRPr="008B5432">
        <w:t>. Ожида</w:t>
      </w:r>
      <w:r w:rsidR="00D67BE3">
        <w:t>ем</w:t>
      </w:r>
      <w:r w:rsidRPr="008B5432">
        <w:t xml:space="preserve">, что </w:t>
      </w:r>
      <w:r w:rsidR="00D30A4C">
        <w:t>мировая</w:t>
      </w:r>
      <w:r w:rsidRPr="008B5432">
        <w:t xml:space="preserve"> инфляция снизится с 4,1% в 2025 году до 3,8% в 2026. </w:t>
      </w:r>
    </w:p>
    <w:p w14:paraId="54391508" w14:textId="4D9F62A9" w:rsidR="001C6D76" w:rsidRDefault="001C6D76" w:rsidP="001C6D76">
      <w:pPr>
        <w:spacing w:before="120"/>
        <w:ind w:left="142" w:firstLine="567"/>
        <w:jc w:val="both"/>
      </w:pPr>
      <w:r w:rsidRPr="001C6D76">
        <w:t xml:space="preserve">В 2026 году определяющее значение будут иметь меры экономической политики ведущих стран мира. Речь идёт о смягчении денежно-кредитной политики, укреплении международного сотрудничества, а также об инвестициях в перспективные технологии и развитие человеческого капитала. Успешность адаптации государств к вызовам, с которыми они столкнулись в 2025 году, определит не только ход текущего года, но и направления глобального развития на долгосрочную перспективу. </w:t>
      </w:r>
    </w:p>
    <w:p w14:paraId="1D4D28E8" w14:textId="09340682" w:rsidR="0037299F" w:rsidRPr="001C6D76" w:rsidRDefault="0037299F" w:rsidP="001C6D76">
      <w:pPr>
        <w:pStyle w:val="1"/>
        <w:numPr>
          <w:ilvl w:val="0"/>
          <w:numId w:val="1"/>
        </w:numPr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r w:rsidRPr="001C6D76">
        <w:rPr>
          <w:rFonts w:ascii="Tahoma" w:hAnsi="Tahoma" w:cs="Tahoma"/>
          <w:color w:val="auto"/>
          <w:sz w:val="24"/>
          <w:szCs w:val="24"/>
        </w:rPr>
        <w:lastRenderedPageBreak/>
        <w:t xml:space="preserve">Макроэкономические факторы </w:t>
      </w:r>
    </w:p>
    <w:p w14:paraId="342712B7" w14:textId="0C3F281D" w:rsidR="0037299F" w:rsidRDefault="0037299F" w:rsidP="0037299F">
      <w:pPr>
        <w:spacing w:before="120"/>
        <w:ind w:left="142" w:firstLine="567"/>
        <w:jc w:val="both"/>
      </w:pPr>
      <w:r w:rsidRPr="006B2857">
        <w:t xml:space="preserve">При построении макроэкономических прогнозов на 2026 год </w:t>
      </w:r>
      <w:r>
        <w:t>следует</w:t>
      </w:r>
      <w:r w:rsidRPr="006B2857">
        <w:t xml:space="preserve"> отталкиваться</w:t>
      </w:r>
      <w:r>
        <w:t xml:space="preserve"> </w:t>
      </w:r>
      <w:r w:rsidRPr="006B2857">
        <w:t>от различных сценариев развития геополитической ситуации. Набор не изменился по сравнению с прошлым годом, а вероятность оптимистичного сценария, на наш взгляд, стала выше.</w:t>
      </w:r>
      <w:r w:rsidR="004C3935">
        <w:t xml:space="preserve"> </w:t>
      </w:r>
    </w:p>
    <w:p w14:paraId="72710CC6" w14:textId="4595F208" w:rsidR="00E5418D" w:rsidRPr="00B0671A" w:rsidRDefault="00E5418D" w:rsidP="00B0671A">
      <w:pPr>
        <w:spacing w:before="120"/>
        <w:ind w:left="142" w:firstLine="567"/>
        <w:jc w:val="both"/>
      </w:pPr>
      <w:r w:rsidRPr="00E5418D">
        <w:rPr>
          <w:b/>
        </w:rPr>
        <w:t>Негативный</w:t>
      </w:r>
      <w:r>
        <w:rPr>
          <w:b/>
        </w:rPr>
        <w:t xml:space="preserve">. </w:t>
      </w:r>
      <w:r w:rsidRPr="00E5418D">
        <w:t>При данном сценарии</w:t>
      </w:r>
      <w:r>
        <w:t xml:space="preserve"> </w:t>
      </w:r>
      <w:r w:rsidR="00474073">
        <w:t>предполагается</w:t>
      </w:r>
      <w:r>
        <w:t xml:space="preserve"> </w:t>
      </w:r>
      <w:r w:rsidR="00D04EDC">
        <w:t>р</w:t>
      </w:r>
      <w:r w:rsidR="00D04EDC" w:rsidRPr="00D04EDC">
        <w:t>асширение санкционного давления</w:t>
      </w:r>
      <w:r w:rsidR="005D7ECF">
        <w:t>.</w:t>
      </w:r>
      <w:r w:rsidR="005D7ECF" w:rsidRPr="005D7ECF">
        <w:t xml:space="preserve"> Экспорт – расширение ограничений на теневой флот, сохранение потолка по реализации нефти РФ, новые сектора/компании под санкциями</w:t>
      </w:r>
      <w:r w:rsidR="005D7ECF">
        <w:t xml:space="preserve">. </w:t>
      </w:r>
      <w:r w:rsidR="005D7ECF" w:rsidRPr="005D7ECF">
        <w:t>Торговая война США – Китай – Европа – ОПЕК+ =&gt; Давление на цены на нефть</w:t>
      </w:r>
      <w:r w:rsidR="005D7ECF">
        <w:t xml:space="preserve">. </w:t>
      </w:r>
      <w:r w:rsidR="005D7ECF" w:rsidRPr="005D7ECF">
        <w:t xml:space="preserve">Расширение дисконта на нефть марки </w:t>
      </w:r>
      <w:proofErr w:type="spellStart"/>
      <w:r w:rsidR="005D7ECF" w:rsidRPr="005D7ECF">
        <w:t>Urals</w:t>
      </w:r>
      <w:proofErr w:type="spellEnd"/>
      <w:r w:rsidR="005D7ECF" w:rsidRPr="005D7ECF">
        <w:t xml:space="preserve"> по отношению к </w:t>
      </w:r>
      <w:proofErr w:type="spellStart"/>
      <w:r w:rsidR="005D7ECF" w:rsidRPr="005D7ECF">
        <w:t>Brent</w:t>
      </w:r>
      <w:proofErr w:type="spellEnd"/>
      <w:r w:rsidR="005D7ECF" w:rsidRPr="005D7ECF">
        <w:t xml:space="preserve"> до 25-30 долл./</w:t>
      </w:r>
      <w:proofErr w:type="spellStart"/>
      <w:r w:rsidR="005D7ECF" w:rsidRPr="005D7ECF">
        <w:t>барр</w:t>
      </w:r>
      <w:proofErr w:type="spellEnd"/>
      <w:proofErr w:type="gramStart"/>
      <w:r w:rsidR="005D7ECF" w:rsidRPr="005D7ECF">
        <w:t>.</w:t>
      </w:r>
      <w:proofErr w:type="gramEnd"/>
      <w:r w:rsidR="005D7ECF" w:rsidRPr="005D7ECF">
        <w:t xml:space="preserve"> и его сохранение в течение длительного времени</w:t>
      </w:r>
      <w:r w:rsidR="00B0671A">
        <w:t xml:space="preserve">. </w:t>
      </w:r>
      <w:r w:rsidR="00B0671A" w:rsidRPr="00B0671A">
        <w:t xml:space="preserve">Падение цены </w:t>
      </w:r>
      <w:proofErr w:type="spellStart"/>
      <w:r w:rsidR="00B0671A" w:rsidRPr="00B0671A">
        <w:t>Brent</w:t>
      </w:r>
      <w:proofErr w:type="spellEnd"/>
      <w:r w:rsidR="00B0671A" w:rsidRPr="00B0671A">
        <w:t xml:space="preserve"> до 50-60 долл./</w:t>
      </w:r>
      <w:proofErr w:type="spellStart"/>
      <w:r w:rsidR="00B0671A" w:rsidRPr="00B0671A">
        <w:t>барр</w:t>
      </w:r>
      <w:proofErr w:type="spellEnd"/>
      <w:r w:rsidR="00B0671A" w:rsidRPr="00B0671A">
        <w:t>. за счет наращивания добычи со стороны США и ОПЕК+</w:t>
      </w:r>
      <w:r w:rsidR="00B0671A">
        <w:t xml:space="preserve">. </w:t>
      </w:r>
      <w:r w:rsidR="00B0671A" w:rsidRPr="00B0671A">
        <w:t>Сокращение притока валюты в страну из-за снижения объемов и стоимости экспорта. Существенная девальвация рубля до уровней выше 110 руб./долл.</w:t>
      </w:r>
      <w:r w:rsidR="00B0671A">
        <w:t xml:space="preserve"> </w:t>
      </w:r>
      <w:r w:rsidR="00B0671A" w:rsidRPr="00B0671A">
        <w:t>Рост бюджетных расходов на финансирование продолжения СВО.  Дефицит бюджета сильно выше плана. Поиск новых непопулярных мер для пополнения доходной части бюджета (дополнительный рост налоговой нагрузки на население и бизнес</w:t>
      </w:r>
      <w:r w:rsidR="00821964">
        <w:t>)</w:t>
      </w:r>
      <w:r w:rsidR="00B0671A">
        <w:t xml:space="preserve">. Рынок труда остается перегретым, зарплаты опять начинают расти быстрее производительности труда. Инфляция остается повышенной или ускоряется относительно 2025 г.  до уровней выше 8,0%. </w:t>
      </w:r>
      <w:r w:rsidR="00B0671A" w:rsidRPr="00B0671A">
        <w:t>Замедление роста ВВП, риски рецессии</w:t>
      </w:r>
      <w:r w:rsidR="00B0671A">
        <w:t>. ДКП остается максимально жесткой в течение всего года. Ключевая ставка – 16-17% на конец года</w:t>
      </w:r>
      <w:r w:rsidR="004871D7">
        <w:t>.</w:t>
      </w:r>
    </w:p>
    <w:p w14:paraId="35FC2C3F" w14:textId="5FFB14F6" w:rsidR="00E5418D" w:rsidRPr="00B0671A" w:rsidRDefault="00E5418D" w:rsidP="00B0671A">
      <w:pPr>
        <w:spacing w:before="120"/>
        <w:ind w:left="142" w:firstLine="567"/>
        <w:jc w:val="both"/>
      </w:pPr>
      <w:r>
        <w:rPr>
          <w:b/>
        </w:rPr>
        <w:t xml:space="preserve">Базовый. </w:t>
      </w:r>
      <w:r w:rsidRPr="00E5418D">
        <w:t>При данном сценарии</w:t>
      </w:r>
      <w:r w:rsidR="00D04EDC">
        <w:t xml:space="preserve"> мы ожидаем </w:t>
      </w:r>
      <w:r w:rsidR="00D04EDC" w:rsidRPr="00D04EDC">
        <w:t>точечное расширение санкций</w:t>
      </w:r>
      <w:r w:rsidR="00B0671A">
        <w:t xml:space="preserve">. </w:t>
      </w:r>
      <w:r w:rsidR="00B0671A" w:rsidRPr="00B0671A">
        <w:t>Экспорт – ограничения на теневой флот, новые сектора / компании под санкциями</w:t>
      </w:r>
      <w:r w:rsidR="00B0671A">
        <w:t xml:space="preserve">. </w:t>
      </w:r>
      <w:r w:rsidR="00B0671A" w:rsidRPr="00B0671A">
        <w:t>Торговая война США – Китай – Европа – ОПЕК+ =&gt; Давление на цены на нефть</w:t>
      </w:r>
      <w:r w:rsidR="00B0671A">
        <w:t xml:space="preserve">. </w:t>
      </w:r>
      <w:r w:rsidR="00B0671A" w:rsidRPr="00B0671A">
        <w:t xml:space="preserve">Дисконт на нефть марки </w:t>
      </w:r>
      <w:proofErr w:type="spellStart"/>
      <w:r w:rsidR="00B0671A" w:rsidRPr="00B0671A">
        <w:t>Urals</w:t>
      </w:r>
      <w:proofErr w:type="spellEnd"/>
      <w:r w:rsidR="00B0671A" w:rsidRPr="00B0671A">
        <w:t xml:space="preserve"> по отношению к </w:t>
      </w:r>
      <w:proofErr w:type="spellStart"/>
      <w:r w:rsidR="00B0671A" w:rsidRPr="00B0671A">
        <w:t>Brent</w:t>
      </w:r>
      <w:proofErr w:type="spellEnd"/>
      <w:r w:rsidR="00B0671A" w:rsidRPr="00B0671A">
        <w:t xml:space="preserve"> </w:t>
      </w:r>
      <w:proofErr w:type="spellStart"/>
      <w:r w:rsidR="00B0671A" w:rsidRPr="00B0671A">
        <w:t>волатилен</w:t>
      </w:r>
      <w:proofErr w:type="spellEnd"/>
      <w:r w:rsidR="00B0671A" w:rsidRPr="00B0671A">
        <w:t>, с последующей нормализацией на уровне 10-15 долл./</w:t>
      </w:r>
      <w:proofErr w:type="spellStart"/>
      <w:r w:rsidR="00B0671A" w:rsidRPr="00B0671A">
        <w:t>барр</w:t>
      </w:r>
      <w:proofErr w:type="spellEnd"/>
      <w:r w:rsidR="00B0671A" w:rsidRPr="00B0671A">
        <w:t>.</w:t>
      </w:r>
      <w:r w:rsidR="00B0671A">
        <w:t xml:space="preserve"> </w:t>
      </w:r>
      <w:r w:rsidR="00B0671A" w:rsidRPr="00B0671A">
        <w:t xml:space="preserve">Падение цены на </w:t>
      </w:r>
      <w:proofErr w:type="spellStart"/>
      <w:r w:rsidR="00B0671A" w:rsidRPr="00B0671A">
        <w:t>Brent</w:t>
      </w:r>
      <w:proofErr w:type="spellEnd"/>
      <w:r w:rsidR="00B0671A" w:rsidRPr="00B0671A">
        <w:t xml:space="preserve"> до 50-60 долл./</w:t>
      </w:r>
      <w:proofErr w:type="spellStart"/>
      <w:r w:rsidR="00B0671A" w:rsidRPr="00B0671A">
        <w:t>барр</w:t>
      </w:r>
      <w:proofErr w:type="spellEnd"/>
      <w:r w:rsidR="00B0671A" w:rsidRPr="00B0671A">
        <w:t>. за счет наращивания добычи со стороны США и ОПЕК+</w:t>
      </w:r>
      <w:r w:rsidR="00B0671A">
        <w:t xml:space="preserve">. </w:t>
      </w:r>
      <w:r w:rsidR="00B0671A" w:rsidRPr="00B0671A">
        <w:t>Умеренная девальвация рубля до уровней 90-95 руб./долл. в среднем за год</w:t>
      </w:r>
      <w:r w:rsidR="00B0671A">
        <w:t xml:space="preserve">. </w:t>
      </w:r>
      <w:r w:rsidR="00B0671A" w:rsidRPr="00B0671A">
        <w:t>Бюджетные расходы на финансирование продолжения СВО остаются стабильными или умеренно растут. Дефицит бюджета складывается незначительно выше планового.</w:t>
      </w:r>
      <w:r w:rsidR="00B0671A">
        <w:t xml:space="preserve"> </w:t>
      </w:r>
      <w:r w:rsidR="00B0671A" w:rsidRPr="00B0671A">
        <w:t>Рынок труда умеренно охлаждается за счет снижения инвестиционной активности, рост зарплат нормализуется</w:t>
      </w:r>
      <w:r w:rsidR="00B0671A">
        <w:t xml:space="preserve">. </w:t>
      </w:r>
      <w:r w:rsidR="00B0671A" w:rsidRPr="00B0671A">
        <w:t>Инфляция временно ускорится за счет разовых факторов (НДС, тарифы), по году превысит прогнозы ЦБ РФ и Правительства, составив 5,5-6,0%</w:t>
      </w:r>
      <w:r w:rsidR="00B0671A">
        <w:t>. Рост ВВП менее 1% из-за давления на инвестиции. ДКП остается умеренно жесткой с постепенным смягчением в течение года. Ключевая ставка – 12- 13% на конец года</w:t>
      </w:r>
      <w:r w:rsidR="004871D7">
        <w:t>.</w:t>
      </w:r>
    </w:p>
    <w:p w14:paraId="21232880" w14:textId="0109A93C" w:rsidR="00E5418D" w:rsidRPr="00B0671A" w:rsidRDefault="00E5418D" w:rsidP="00B0671A">
      <w:pPr>
        <w:spacing w:before="120"/>
        <w:ind w:left="142" w:firstLine="567"/>
        <w:jc w:val="both"/>
      </w:pPr>
      <w:r>
        <w:rPr>
          <w:b/>
        </w:rPr>
        <w:t xml:space="preserve">Оптимистичный. </w:t>
      </w:r>
      <w:r w:rsidRPr="00E5418D">
        <w:t>При данном сценарии</w:t>
      </w:r>
      <w:r w:rsidR="00D04EDC">
        <w:t xml:space="preserve"> </w:t>
      </w:r>
      <w:r w:rsidR="00474073">
        <w:t>ожидается</w:t>
      </w:r>
      <w:r w:rsidR="00D04EDC">
        <w:t xml:space="preserve"> о</w:t>
      </w:r>
      <w:r w:rsidR="00D04EDC" w:rsidRPr="00D04EDC">
        <w:t>тмен</w:t>
      </w:r>
      <w:r w:rsidR="00474073">
        <w:t>а</w:t>
      </w:r>
      <w:r w:rsidR="00D04EDC" w:rsidRPr="00D04EDC">
        <w:t xml:space="preserve"> части санкций</w:t>
      </w:r>
      <w:r w:rsidR="00B0671A">
        <w:t xml:space="preserve">. Вывод ключевого экспорта из-под части санкций (отмена потолка цен на нефть). Торговая война США – Китай – Европа – ОПЕК+ =&gt; Давление на цены на нефть. Дисконт на нефть марки </w:t>
      </w:r>
      <w:proofErr w:type="spellStart"/>
      <w:r w:rsidR="00B0671A">
        <w:t>Urals</w:t>
      </w:r>
      <w:proofErr w:type="spellEnd"/>
      <w:r w:rsidR="00B0671A">
        <w:t xml:space="preserve"> по отношению к </w:t>
      </w:r>
      <w:proofErr w:type="spellStart"/>
      <w:r w:rsidR="00B0671A">
        <w:t>Brent</w:t>
      </w:r>
      <w:proofErr w:type="spellEnd"/>
      <w:r w:rsidR="00B0671A">
        <w:t xml:space="preserve"> сокращается до уровня 0-5 долл./</w:t>
      </w:r>
      <w:proofErr w:type="spellStart"/>
      <w:r w:rsidR="00B0671A">
        <w:t>барр</w:t>
      </w:r>
      <w:proofErr w:type="spellEnd"/>
      <w:r w:rsidR="00B0671A">
        <w:t xml:space="preserve">. Падение цены на </w:t>
      </w:r>
      <w:proofErr w:type="spellStart"/>
      <w:r w:rsidR="00B0671A">
        <w:t>Brent</w:t>
      </w:r>
      <w:proofErr w:type="spellEnd"/>
      <w:r w:rsidR="00B0671A">
        <w:t xml:space="preserve"> до 50-60 долл./</w:t>
      </w:r>
      <w:proofErr w:type="spellStart"/>
      <w:r w:rsidR="00B0671A">
        <w:t>барр</w:t>
      </w:r>
      <w:proofErr w:type="spellEnd"/>
      <w:r w:rsidR="00B0671A">
        <w:t>. за счет наращивания добычи со стороны США и ОПЕК+. Курс рубля остается крепким или даже растет до уровней 70-75 руб./долл.</w:t>
      </w:r>
      <w:r w:rsidR="00474073">
        <w:t xml:space="preserve"> </w:t>
      </w:r>
      <w:r w:rsidR="00B0671A">
        <w:t xml:space="preserve">на фоне увеличения экспортной выручки, а также потенциального притока капитала. Бюджет балансируется на уровне плановых цифр дефицита 2026-2028 гг.  или ниже. Рынок труда плавно нормализуется (снижение спроса со стороны ВПК). Инфляция нормализуется на уровне целевых </w:t>
      </w:r>
      <w:r w:rsidR="00474073">
        <w:t>показателей</w:t>
      </w:r>
      <w:r w:rsidR="00B0671A">
        <w:t xml:space="preserve"> ЦБ 4,0-4,5%. Рост ВВП в рамках потенциала или чуть выше (+1,5%-2,5%) на фоне перераспределения ресурсов в пользу поддержки экономики и роста инвестиционной активности. Снижение рисков позволит ЦБ РФ снижать ключевую ставку быстрее – до уровня 10-11% к концу года</w:t>
      </w:r>
      <w:r w:rsidR="004871D7">
        <w:t>.</w:t>
      </w:r>
    </w:p>
    <w:p w14:paraId="649B9BD1" w14:textId="2B70997E" w:rsidR="0037299F" w:rsidRPr="00023896" w:rsidRDefault="00D41E54" w:rsidP="00023896">
      <w:pPr>
        <w:spacing w:before="120"/>
        <w:ind w:left="142" w:firstLine="567"/>
        <w:jc w:val="both"/>
        <w:rPr>
          <w:i/>
        </w:rPr>
      </w:pPr>
      <w:r w:rsidRPr="00023896">
        <w:rPr>
          <w:i/>
        </w:rPr>
        <w:t>При рассмотрении всех вероятных сценариев</w:t>
      </w:r>
      <w:bookmarkStart w:id="1" w:name="_GoBack"/>
      <w:bookmarkEnd w:id="1"/>
      <w:r w:rsidRPr="00023896">
        <w:rPr>
          <w:i/>
        </w:rPr>
        <w:t xml:space="preserve"> развития событий</w:t>
      </w:r>
      <w:r w:rsidRPr="00023896">
        <w:rPr>
          <w:i/>
        </w:rPr>
        <w:t xml:space="preserve"> можно сделать вывод, что в 2026 году</w:t>
      </w:r>
      <w:r w:rsidRPr="00023896">
        <w:rPr>
          <w:i/>
        </w:rPr>
        <w:t xml:space="preserve"> </w:t>
      </w:r>
      <w:r w:rsidR="0037299F" w:rsidRPr="00023896">
        <w:rPr>
          <w:i/>
        </w:rPr>
        <w:t xml:space="preserve">денежно-кредитная политика останется умеренно жесткой. Банк России продолжит снижать ключевую ставку, однако, возврат к нормализации денежно-кредитных условий будет плавным. Ожидается пауза в смягчении в 1 квартале 2026 г. ЦБ РФ потребуется время, чтобы оценить влияние разовых факторов, после чего цикл снижения продолжится, а ключевая ставка составит </w:t>
      </w:r>
      <w:r w:rsidR="002B753F" w:rsidRPr="00023896">
        <w:rPr>
          <w:i/>
        </w:rPr>
        <w:t>12-</w:t>
      </w:r>
      <w:r w:rsidR="0037299F" w:rsidRPr="00023896">
        <w:rPr>
          <w:i/>
        </w:rPr>
        <w:t xml:space="preserve">13% на конец 2026 г. Также, вероятны точечные дефолты и банкротства в </w:t>
      </w:r>
      <w:r w:rsidR="002B753F" w:rsidRPr="00023896">
        <w:rPr>
          <w:i/>
        </w:rPr>
        <w:t>корпоративном</w:t>
      </w:r>
      <w:r w:rsidR="0037299F" w:rsidRPr="00023896">
        <w:rPr>
          <w:i/>
        </w:rPr>
        <w:t xml:space="preserve"> секторе</w:t>
      </w:r>
      <w:r w:rsidR="002B753F" w:rsidRPr="00023896">
        <w:rPr>
          <w:i/>
        </w:rPr>
        <w:t xml:space="preserve">. </w:t>
      </w:r>
      <w:r w:rsidR="0037299F" w:rsidRPr="00023896">
        <w:rPr>
          <w:i/>
        </w:rPr>
        <w:t xml:space="preserve"> </w:t>
      </w:r>
      <w:r w:rsidR="002B753F" w:rsidRPr="00023896">
        <w:rPr>
          <w:i/>
        </w:rPr>
        <w:t>По государственному долгу ожидается</w:t>
      </w:r>
      <w:r w:rsidR="0037299F" w:rsidRPr="00023896">
        <w:rPr>
          <w:i/>
        </w:rPr>
        <w:t xml:space="preserve"> сохранение доходностей долгосрочных ОФЗ на уровнях 14-15% до конца 1 </w:t>
      </w:r>
      <w:r w:rsidR="002B753F" w:rsidRPr="00023896">
        <w:rPr>
          <w:i/>
        </w:rPr>
        <w:t>квартала</w:t>
      </w:r>
      <w:r w:rsidR="0037299F" w:rsidRPr="00023896">
        <w:rPr>
          <w:i/>
        </w:rPr>
        <w:t xml:space="preserve"> с </w:t>
      </w:r>
      <w:r w:rsidR="002B753F" w:rsidRPr="00023896">
        <w:rPr>
          <w:i/>
        </w:rPr>
        <w:t>постепенным</w:t>
      </w:r>
      <w:r w:rsidR="0037299F" w:rsidRPr="00023896">
        <w:rPr>
          <w:i/>
        </w:rPr>
        <w:t xml:space="preserve"> снижением до 12-13% к концу 2026 года. Рынок акций будет под умеренным давлением в первой половине года на фоне низкой цены на </w:t>
      </w:r>
      <w:proofErr w:type="spellStart"/>
      <w:r w:rsidR="0037299F" w:rsidRPr="00023896">
        <w:rPr>
          <w:i/>
        </w:rPr>
        <w:t>Urals</w:t>
      </w:r>
      <w:proofErr w:type="spellEnd"/>
      <w:r w:rsidR="002B753F" w:rsidRPr="00023896">
        <w:rPr>
          <w:i/>
        </w:rPr>
        <w:t xml:space="preserve">, геополитических «качелей» </w:t>
      </w:r>
      <w:r w:rsidR="0037299F" w:rsidRPr="00023896">
        <w:rPr>
          <w:i/>
        </w:rPr>
        <w:t xml:space="preserve">и </w:t>
      </w:r>
      <w:r w:rsidR="002B753F" w:rsidRPr="00023896">
        <w:rPr>
          <w:i/>
        </w:rPr>
        <w:t>продолжающейся жесткостью ДКП. К концу года на фоне снижения ставок возможно улучшение конъюнктуры.</w:t>
      </w:r>
    </w:p>
    <w:p w14:paraId="122B2C3F" w14:textId="77777777" w:rsidR="0037299F" w:rsidRPr="00E41489" w:rsidRDefault="0037299F" w:rsidP="008246CB">
      <w:pPr>
        <w:spacing w:before="120"/>
        <w:ind w:left="142" w:firstLine="567"/>
        <w:jc w:val="both"/>
      </w:pPr>
    </w:p>
    <w:sectPr w:rsidR="0037299F" w:rsidRPr="00E41489" w:rsidSect="00270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D0A05"/>
    <w:multiLevelType w:val="multilevel"/>
    <w:tmpl w:val="7292C1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3A"/>
    <w:rsid w:val="00023896"/>
    <w:rsid w:val="00157AA7"/>
    <w:rsid w:val="001C6D76"/>
    <w:rsid w:val="00265071"/>
    <w:rsid w:val="00270D21"/>
    <w:rsid w:val="00281AF3"/>
    <w:rsid w:val="002A4597"/>
    <w:rsid w:val="002B753F"/>
    <w:rsid w:val="0037299F"/>
    <w:rsid w:val="003A7132"/>
    <w:rsid w:val="003B385F"/>
    <w:rsid w:val="003F28CD"/>
    <w:rsid w:val="00474073"/>
    <w:rsid w:val="004871D7"/>
    <w:rsid w:val="004C3935"/>
    <w:rsid w:val="005256A7"/>
    <w:rsid w:val="005D7ECF"/>
    <w:rsid w:val="006448DE"/>
    <w:rsid w:val="00756503"/>
    <w:rsid w:val="00770381"/>
    <w:rsid w:val="007959DD"/>
    <w:rsid w:val="007F63DA"/>
    <w:rsid w:val="00821964"/>
    <w:rsid w:val="008246CB"/>
    <w:rsid w:val="008B5432"/>
    <w:rsid w:val="008E6D3B"/>
    <w:rsid w:val="00B0671A"/>
    <w:rsid w:val="00B92FD7"/>
    <w:rsid w:val="00D04EDC"/>
    <w:rsid w:val="00D30A4C"/>
    <w:rsid w:val="00D41E54"/>
    <w:rsid w:val="00D67BE3"/>
    <w:rsid w:val="00DA773A"/>
    <w:rsid w:val="00DF6F7A"/>
    <w:rsid w:val="00E3510B"/>
    <w:rsid w:val="00E41489"/>
    <w:rsid w:val="00E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3C0D"/>
  <w15:chartTrackingRefBased/>
  <w15:docId w15:val="{84D569DB-F499-4EA7-AEF6-27A4FA5F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0D2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1">
    <w:name w:val="heading 1"/>
    <w:basedOn w:val="a"/>
    <w:next w:val="a"/>
    <w:link w:val="10"/>
    <w:uiPriority w:val="9"/>
    <w:qFormat/>
    <w:rsid w:val="00270D21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0D21"/>
  </w:style>
  <w:style w:type="character" w:customStyle="1" w:styleId="a4">
    <w:name w:val="Основной текст Знак"/>
    <w:basedOn w:val="a0"/>
    <w:link w:val="a3"/>
    <w:uiPriority w:val="1"/>
    <w:rsid w:val="00270D21"/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270D2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a5">
    <w:name w:val="Table Grid"/>
    <w:basedOn w:val="a1"/>
    <w:uiPriority w:val="39"/>
    <w:rsid w:val="0082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3510B"/>
    <w:rPr>
      <w:b/>
      <w:bCs/>
    </w:rPr>
  </w:style>
  <w:style w:type="paragraph" w:styleId="a7">
    <w:name w:val="No Spacing"/>
    <w:uiPriority w:val="1"/>
    <w:qFormat/>
    <w:rsid w:val="0037299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a8">
    <w:name w:val="List Paragraph"/>
    <w:basedOn w:val="a"/>
    <w:uiPriority w:val="34"/>
    <w:qFormat/>
    <w:rsid w:val="001C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 Владислав Геннадьевич</dc:creator>
  <cp:keywords/>
  <dc:description/>
  <cp:lastModifiedBy>Синицын Владислав Геннадьевич</cp:lastModifiedBy>
  <cp:revision>3</cp:revision>
  <dcterms:created xsi:type="dcterms:W3CDTF">2026-02-12T09:20:00Z</dcterms:created>
  <dcterms:modified xsi:type="dcterms:W3CDTF">2026-02-12T14:50:00Z</dcterms:modified>
</cp:coreProperties>
</file>